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7828781"/>
        <w:docPartObj>
          <w:docPartGallery w:val="Cover Pages"/>
          <w:docPartUnique/>
        </w:docPartObj>
      </w:sdtPr>
      <w:sdtContent>
        <w:p w:rsidR="005A07D4" w:rsidRDefault="005A07D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CC5F199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A07D4" w:rsidRDefault="005A07D4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Stephen Masyada</w:t>
                                    </w:r>
                                  </w:p>
                                </w:sdtContent>
                              </w:sdt>
                              <w:p w:rsidR="005A07D4" w:rsidRDefault="005A07D4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[Email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A07D4" w:rsidRDefault="005A07D4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Stephen Masyada</w:t>
                              </w:r>
                            </w:p>
                          </w:sdtContent>
                        </w:sdt>
                        <w:p w:rsidR="005A07D4" w:rsidRDefault="005A07D4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[Email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bookmarkStart w:id="0" w:name="_GoBack"/>
          <w:bookmarkEnd w:id="0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A07D4" w:rsidRDefault="005A07D4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A0D06"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FCSS Legislative Report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A07D4" w:rsidRDefault="001A0D0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Spring 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    <v:textbox inset="126pt,0,54pt,0">
                      <w:txbxContent>
                        <w:p w:rsidR="005A07D4" w:rsidRDefault="005A07D4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1A0D06"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FCSS Legislative Report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A07D4" w:rsidRDefault="001A0D0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Spring 2021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A07D4" w:rsidRDefault="005A07D4">
          <w:r>
            <w:br w:type="page"/>
          </w:r>
        </w:p>
      </w:sdtContent>
    </w:sdt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lastRenderedPageBreak/>
        <w:t>SB 146: Civic Education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</w:t>
      </w:r>
      <w:hyperlink r:id="rId6" w:history="1">
        <w:proofErr w:type="spellStart"/>
        <w:r w:rsidRPr="005A07D4">
          <w:rPr>
            <w:rFonts w:ascii="Trebuchet MS" w:eastAsia="Times New Roman" w:hAnsi="Trebuchet MS" w:cs="Times New Roman"/>
            <w:color w:val="4B4B4B"/>
            <w:sz w:val="19"/>
            <w:szCs w:val="19"/>
            <w:u w:val="single"/>
          </w:rPr>
          <w:t>Brandes</w:t>
        </w:r>
        <w:proofErr w:type="spellEnd"/>
      </w:hyperlink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YET IN HOUSE)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Civic Education; Requiring the Commissioner of Education to develop minimum criteria for a nonpartisan civic literacy practicum for high school students, beginning with a specified school year; authorizing students to apply the hours they devote to practicum activities to certain community service requirements; requiring school districts accept nonpartisan civic literacy practicum activities and hours in requirements for certain awards; requiring the State Board of Education to designate certain high schools as Freedom Schools,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FF0000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FF0000"/>
          <w:sz w:val="27"/>
          <w:szCs w:val="27"/>
        </w:rPr>
        <w:t>SB 190: Required Instruction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FF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GENERAL BILL by </w:t>
      </w:r>
      <w:hyperlink r:id="rId7" w:history="1">
        <w:r w:rsidRPr="005A07D4">
          <w:rPr>
            <w:rFonts w:ascii="Trebuchet MS" w:eastAsia="Times New Roman" w:hAnsi="Trebuchet MS" w:cs="Times New Roman"/>
            <w:color w:val="FF0000"/>
            <w:sz w:val="19"/>
            <w:szCs w:val="19"/>
            <w:u w:val="single"/>
          </w:rPr>
          <w:t>Berman</w:t>
        </w:r>
      </w:hyperlink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FF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Required Instruction; Beginning in a specified school year, requiring the Department of Education to annually verify that school districts, charter schools, and specified private schools implement certain instruction relating to the history of African Americans; specifying requirements for school districts, charter schools, and specified private schools relating to such instruction; requiring certain statewide, standardized assessments to include, when appropriate, curricula content from the history of African Americans,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FF0000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FF0000"/>
          <w:sz w:val="27"/>
          <w:szCs w:val="27"/>
        </w:rPr>
        <w:t>HB 105: Required Instruction in the History of the Holocaust and of African Americans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FF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GENERAL BILL by </w:t>
      </w:r>
      <w:proofErr w:type="gramStart"/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Thompson ;</w:t>
      </w:r>
      <w:proofErr w:type="gramEnd"/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 xml:space="preserve"> (CO-INTRODUCERS) Benjamin ; Gottlieb ; </w:t>
      </w:r>
      <w:proofErr w:type="spellStart"/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Grieco</w:t>
      </w:r>
      <w:proofErr w:type="spellEnd"/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FF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FF0000"/>
          <w:sz w:val="19"/>
          <w:szCs w:val="19"/>
        </w:rPr>
        <w:t>Required Instruction in the History of the Holocaust and of African Americans; Requires DOE to prepare standards &amp; curriculum related to history of African Americans; authorizes DOE to seek input from or contract with specified entities to develop specified training &amp; resources relating to such instruction; provides requirements for specified entities relating to history of Holocaust &amp; history of African Americans instruction; requires certain statewide, standardized assessments to include curricula content from history of Holocaust &amp; history of African Americans.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SB 254: Education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</w:t>
      </w:r>
      <w:hyperlink r:id="rId8" w:history="1">
        <w:r w:rsidRPr="005A07D4">
          <w:rPr>
            <w:rFonts w:ascii="Trebuchet MS" w:eastAsia="Times New Roman" w:hAnsi="Trebuchet MS" w:cs="Times New Roman"/>
            <w:color w:val="4B4B4B"/>
            <w:sz w:val="19"/>
            <w:szCs w:val="19"/>
            <w:u w:val="single"/>
          </w:rPr>
          <w:t>Stewart</w:t>
        </w:r>
      </w:hyperlink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YET IN HOUSE)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Education; Requiring specified teachers to have received, at a minimum, a bachelor’s degree; requiring private schools to provide specified students with a certain amount of time for recess; requiring private school students to participate in the statewide assessment program; requiring private schools to comply with the State Requirements for Educational Facilities of the Florida Building Code,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SB 554: Human Trafficking Education in Schools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</w:t>
      </w:r>
      <w:hyperlink r:id="rId9" w:history="1">
        <w:r w:rsidRPr="005A07D4">
          <w:rPr>
            <w:rFonts w:ascii="Trebuchet MS" w:eastAsia="Times New Roman" w:hAnsi="Trebuchet MS" w:cs="Times New Roman"/>
            <w:color w:val="4B4B4B"/>
            <w:sz w:val="19"/>
            <w:szCs w:val="19"/>
            <w:u w:val="single"/>
          </w:rPr>
          <w:t>Thurston</w:t>
        </w:r>
      </w:hyperlink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19"/>
          <w:szCs w:val="19"/>
        </w:rPr>
        <w:t>(NO COMPANION YET IN HOUSE)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Human Trafficking Education in Schools; Revising the required health education in public schools to include information regarding the dangers and signs of human trafficking; specifying the minimum requirements of the human trafficking education portion of the comprehensive health education curriculum,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HB 131: Educator Conduct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Duggan</w:t>
      </w:r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IN SENATE)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Educator Conduct; Requiring DOE to maintain a disqualification list of individuals; revises provisions relating to employment &amp; termination of public school &amp; private school employees; revises duties of DOE, Commissioner of Education, &amp; school districts relating to employee conduct &amp; employment &amp; termination of public school &amp; private school employees.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2E74B5" w:themeColor="accent1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2E74B5" w:themeColor="accent1" w:themeShade="BF"/>
          <w:sz w:val="27"/>
          <w:szCs w:val="27"/>
        </w:rPr>
        <w:lastRenderedPageBreak/>
        <w:t>HB 179: Prohibited Discrimination Based on Hairstyle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  <w:t>GENERAL BILL by Brown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  <w:t>Prohibited Discrimination Based on Hairstyle; Provides that it is unlawful to discriminate against any person because of protected hairstyle in areas of housing, employment, &amp; K-20 public education system.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2E74B5" w:themeColor="accent1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2E74B5" w:themeColor="accent1" w:themeShade="BF"/>
          <w:sz w:val="27"/>
          <w:szCs w:val="27"/>
        </w:rPr>
        <w:t>SB 476: Prohibited Discrimination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  <w:t>GENERAL BILL by </w:t>
      </w:r>
      <w:hyperlink r:id="rId10" w:history="1">
        <w:r w:rsidRPr="005A07D4">
          <w:rPr>
            <w:rFonts w:ascii="Trebuchet MS" w:eastAsia="Times New Roman" w:hAnsi="Trebuchet MS" w:cs="Times New Roman"/>
            <w:color w:val="2E74B5" w:themeColor="accent1" w:themeShade="BF"/>
            <w:sz w:val="19"/>
            <w:szCs w:val="19"/>
            <w:u w:val="single"/>
          </w:rPr>
          <w:t>Bracy</w:t>
        </w:r>
      </w:hyperlink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2E74B5" w:themeColor="accent1" w:themeShade="BF"/>
          <w:sz w:val="19"/>
          <w:szCs w:val="19"/>
        </w:rPr>
        <w:t>Prohibited Discrimination; Citing this act as the “Creating a Respectful and Open World for Natural Hair Act,” or “CROWN Act”; providing that it is unlawful for sponsors under the Florida Housing Finance Corporation Act to discriminate against any person or family because of traits historically associated with race,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C45911" w:themeColor="accent2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C45911" w:themeColor="accent2" w:themeShade="BF"/>
          <w:sz w:val="27"/>
          <w:szCs w:val="27"/>
        </w:rPr>
        <w:t>HB 181: 1920 Ocoee Election Day Riots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  <w:t>GENERAL BILL by Brown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  <w:t>1920 Ocoee Election Day Riots; Requires DEO to prioritize certain applications for Black Business Loan Program; creates Ocoee Scholarship Program for specified recipients; provides requirements for such program &amp; for funding.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C45911" w:themeColor="accent2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C45911" w:themeColor="accent2" w:themeShade="BF"/>
          <w:sz w:val="27"/>
          <w:szCs w:val="27"/>
        </w:rPr>
        <w:t>SB 678: 1920 Ocoee Election Day Riots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  <w:t>GENERAL BILL by </w:t>
      </w:r>
      <w:hyperlink r:id="rId11" w:history="1">
        <w:r w:rsidRPr="005A07D4">
          <w:rPr>
            <w:rFonts w:ascii="Trebuchet MS" w:eastAsia="Times New Roman" w:hAnsi="Trebuchet MS" w:cs="Times New Roman"/>
            <w:color w:val="C45911" w:themeColor="accent2" w:themeShade="BF"/>
            <w:sz w:val="19"/>
            <w:szCs w:val="19"/>
            <w:u w:val="single"/>
          </w:rPr>
          <w:t>Bracy</w:t>
        </w:r>
      </w:hyperlink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C45911" w:themeColor="accent2" w:themeShade="BF"/>
          <w:sz w:val="19"/>
          <w:szCs w:val="19"/>
        </w:rPr>
        <w:t>1920 Ocoee Election Day Riots; Requiring the Department of Economic Opportunity to prioritize certain applications for the Black Business Loan Program; creating the Ocoee Scholarship Program for specified recipients; specifying annual award amounts to recipients participating in the program,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HB 51: Charter Schools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</w:t>
      </w:r>
      <w:proofErr w:type="gramStart"/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McClain ;</w:t>
      </w:r>
      <w:proofErr w:type="gramEnd"/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(CO-INTRODUCERS) Duggan</w:t>
      </w:r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YET IN SENATE)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Charter Schools; Authorizes state universities &amp; Florida College System institutions to sponsor charter schools; revises reporting &amp; accountability requirements &amp; populations for which charter school is authorized to limit enrollment process; provides for funding; authorizes career &amp; professional academy to be offered by charter school.</w:t>
      </w: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BF8F00" w:themeColor="accent4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BF8F00" w:themeColor="accent4" w:themeShade="BF"/>
          <w:sz w:val="27"/>
          <w:szCs w:val="27"/>
        </w:rPr>
        <w:lastRenderedPageBreak/>
        <w:t>HB 173: Individual Education Plan Requirements for Students with Disabilities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GENERAL BILL by </w:t>
      </w:r>
      <w:proofErr w:type="spellStart"/>
      <w:proofErr w:type="gramStart"/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Tant</w:t>
      </w:r>
      <w:proofErr w:type="spellEnd"/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 xml:space="preserve"> ;</w:t>
      </w:r>
      <w:proofErr w:type="gramEnd"/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 xml:space="preserve"> (CO-INTRODUCERS) </w:t>
      </w:r>
      <w:proofErr w:type="spellStart"/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Grieco</w:t>
      </w:r>
      <w:proofErr w:type="spellEnd"/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Individual Education Plan Requirements for Students with Disabilities; Revises timeline for development &amp; implementation of individual education plan (IEP) for transition services for student with disabilities to postsecondary education &amp; career opportunities; revises requirements for IEP for transitions to postsecondary education &amp; career opportunities.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BF8F00" w:themeColor="accent4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BF8F00" w:themeColor="accent4" w:themeShade="BF"/>
          <w:sz w:val="27"/>
          <w:szCs w:val="27"/>
        </w:rPr>
        <w:t>SB 726: Individual Education Plan Requirements for Students with Disabilities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GENERAL BILL by </w:t>
      </w:r>
      <w:hyperlink r:id="rId12" w:history="1">
        <w:r w:rsidRPr="005A07D4">
          <w:rPr>
            <w:rFonts w:ascii="Trebuchet MS" w:eastAsia="Times New Roman" w:hAnsi="Trebuchet MS" w:cs="Times New Roman"/>
            <w:color w:val="BF8F00" w:themeColor="accent4" w:themeShade="BF"/>
            <w:sz w:val="19"/>
            <w:szCs w:val="19"/>
            <w:u w:val="single"/>
          </w:rPr>
          <w:t>Taddeo</w:t>
        </w:r>
      </w:hyperlink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BF8F00" w:themeColor="accent4" w:themeShade="BF"/>
          <w:sz w:val="19"/>
          <w:szCs w:val="19"/>
        </w:rPr>
        <w:t>Individual Education Plan Requirements for Students with Disabilities; Revising the timeline for the development and implementation of an individual education plan (IEP) for a student with disabilities to transition to postsecondary education and career opportunities; revising the requirements for an IEP for the transitions to a postsecondary education or career opportunities; requiring the Department of Education to conduct a review of specified services and programs,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 xml:space="preserve">HB 227: School Protocols </w:t>
      </w:r>
      <w:proofErr w:type="gramStart"/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During</w:t>
      </w:r>
      <w:proofErr w:type="gramEnd"/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 xml:space="preserve"> a COVID-19 State of Emergency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Hinson</w:t>
      </w:r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IN SENATE)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School Protocols During a COVID-19 State of Emergency; Requires district school board to adopt specified policies during certain declared state of emergency; provides requirements for such policies; requires statewide, standardized assessments be waived during certain declared state of emergency.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538135" w:themeColor="accent6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538135" w:themeColor="accent6" w:themeShade="BF"/>
          <w:sz w:val="27"/>
          <w:szCs w:val="27"/>
        </w:rPr>
        <w:t>HB 241: Parents' Bill of Rights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GENERAL BILL by </w:t>
      </w:r>
      <w:proofErr w:type="spellStart"/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Grall</w:t>
      </w:r>
      <w:proofErr w:type="spellEnd"/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Parents' Bill of Rights; Provides parental rights relating to a minor child's education, upbringing, &amp; health care; provides school district, health care practitioner, hospital requirements &amp; specified penalties.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538135" w:themeColor="accent6" w:themeShade="BF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538135" w:themeColor="accent6" w:themeShade="BF"/>
          <w:sz w:val="27"/>
          <w:szCs w:val="27"/>
        </w:rPr>
        <w:t>SB 582: Parental Rights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GENERAL BILL by </w:t>
      </w:r>
      <w:hyperlink r:id="rId13" w:history="1">
        <w:r w:rsidRPr="005A07D4">
          <w:rPr>
            <w:rFonts w:ascii="Trebuchet MS" w:eastAsia="Times New Roman" w:hAnsi="Trebuchet MS" w:cs="Times New Roman"/>
            <w:color w:val="538135" w:themeColor="accent6" w:themeShade="BF"/>
            <w:sz w:val="19"/>
            <w:szCs w:val="19"/>
            <w:u w:val="single"/>
          </w:rPr>
          <w:t>Rodrigues</w:t>
        </w:r>
      </w:hyperlink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 ; (CO-INTRODUCERS) </w:t>
      </w:r>
      <w:hyperlink r:id="rId14" w:history="1">
        <w:r w:rsidRPr="005A07D4">
          <w:rPr>
            <w:rFonts w:ascii="Trebuchet MS" w:eastAsia="Times New Roman" w:hAnsi="Trebuchet MS" w:cs="Times New Roman"/>
            <w:color w:val="538135" w:themeColor="accent6" w:themeShade="BF"/>
            <w:sz w:val="19"/>
            <w:szCs w:val="19"/>
            <w:u w:val="single"/>
          </w:rPr>
          <w:t>Baxley</w:t>
        </w:r>
      </w:hyperlink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538135" w:themeColor="accent6" w:themeShade="BF"/>
          <w:sz w:val="19"/>
          <w:szCs w:val="19"/>
        </w:rPr>
        <w:t>Parental Rights; Creating the “Parents’ Bill of Rights”; prohibiting the state, its political subdivisions, other governmental entities, or other institutions from infringing on parental rights unless specified conditions are met; requiring each district school board to develop and adopt a policy to promote parental involvement in the public school system; prohibiting health care practitioners and their employees from providing health care services or prescribing medicinal drugs to a minor child without a parent’s written consent, etc.</w:t>
      </w:r>
    </w:p>
    <w:p w:rsidR="005A07D4" w:rsidRPr="005A07D4" w:rsidRDefault="005A07D4" w:rsidP="005A07D4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</w:pPr>
      <w:r w:rsidRPr="005A07D4">
        <w:rPr>
          <w:rFonts w:ascii="Trebuchet MS" w:eastAsia="Times New Roman" w:hAnsi="Trebuchet MS" w:cs="Times New Roman"/>
          <w:b/>
          <w:bCs/>
          <w:color w:val="003366"/>
          <w:sz w:val="27"/>
          <w:szCs w:val="27"/>
        </w:rPr>
        <w:t>SB 282: Moments of Silence in Public Schools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GENERAL BILL by </w:t>
      </w:r>
      <w:hyperlink r:id="rId15" w:history="1">
        <w:r w:rsidRPr="005A07D4">
          <w:rPr>
            <w:rFonts w:ascii="Trebuchet MS" w:eastAsia="Times New Roman" w:hAnsi="Trebuchet MS" w:cs="Times New Roman"/>
            <w:color w:val="4B4B4B"/>
            <w:sz w:val="19"/>
            <w:szCs w:val="19"/>
            <w:u w:val="single"/>
          </w:rPr>
          <w:t>Baxley</w:t>
        </w:r>
      </w:hyperlink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 ; (CO-INTRODUCERS) </w:t>
      </w:r>
      <w:hyperlink r:id="rId16" w:history="1">
        <w:proofErr w:type="spellStart"/>
        <w:r w:rsidRPr="005A07D4">
          <w:rPr>
            <w:rFonts w:ascii="Trebuchet MS" w:eastAsia="Times New Roman" w:hAnsi="Trebuchet MS" w:cs="Times New Roman"/>
            <w:color w:val="4B4B4B"/>
            <w:sz w:val="19"/>
            <w:szCs w:val="19"/>
            <w:u w:val="single"/>
          </w:rPr>
          <w:t>Albritton</w:t>
        </w:r>
        <w:proofErr w:type="spellEnd"/>
      </w:hyperlink>
      <w:r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(NO COMPANION IN HOUSE)</w:t>
      </w:r>
    </w:p>
    <w:p w:rsidR="005A07D4" w:rsidRPr="005A07D4" w:rsidRDefault="005A07D4" w:rsidP="005A07D4">
      <w:pPr>
        <w:shd w:val="clear" w:color="auto" w:fill="FFFFFF"/>
        <w:spacing w:before="192" w:after="192" w:line="240" w:lineRule="auto"/>
        <w:rPr>
          <w:rFonts w:ascii="Trebuchet MS" w:eastAsia="Times New Roman" w:hAnsi="Trebuchet MS" w:cs="Times New Roman"/>
          <w:color w:val="000000"/>
          <w:sz w:val="19"/>
          <w:szCs w:val="19"/>
        </w:rPr>
      </w:pPr>
      <w:r w:rsidRPr="005A07D4">
        <w:rPr>
          <w:rFonts w:ascii="Trebuchet MS" w:eastAsia="Times New Roman" w:hAnsi="Trebuchet MS" w:cs="Times New Roman"/>
          <w:color w:val="000000"/>
          <w:sz w:val="19"/>
          <w:szCs w:val="19"/>
        </w:rPr>
        <w:t>Moments of Silence in Public Schools; Providing legislative findings; requiring that public school principals require certain teachers to set aside time for a moment of silence at the beginning of each school day; prohibiting teachers from making suggestions as to the nature of any reflection that a student may engage in during the moment of silence; deleting a provision authorizing district school boards to provide a brief period of silent prayer or meditation; requiring certain teachers to encourage parents or guardians to discuss the moment of silence with their children and to make suggestions as to the best use of this time, etc.</w:t>
      </w:r>
    </w:p>
    <w:p w:rsidR="00044CD7" w:rsidRDefault="001A0D06"/>
    <w:sectPr w:rsidR="00044CD7" w:rsidSect="005A07D4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D4"/>
    <w:rsid w:val="001A0D06"/>
    <w:rsid w:val="0045151B"/>
    <w:rsid w:val="005A07D4"/>
    <w:rsid w:val="006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2E89"/>
  <w15:chartTrackingRefBased/>
  <w15:docId w15:val="{992BF22F-F8D1-44B4-A158-FEDE787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0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A07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senate.gov/Senators/S13" TargetMode="External"/><Relationship Id="rId13" Type="http://schemas.openxmlformats.org/officeDocument/2006/relationships/hyperlink" Target="https://www.flsenate.gov/Senators/S2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lsenate.gov/Senators/S31" TargetMode="External"/><Relationship Id="rId12" Type="http://schemas.openxmlformats.org/officeDocument/2006/relationships/hyperlink" Target="https://www.flsenate.gov/Senators/S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lsenate.gov/Senators/S2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lsenate.gov/Senators/S24" TargetMode="External"/><Relationship Id="rId11" Type="http://schemas.openxmlformats.org/officeDocument/2006/relationships/hyperlink" Target="https://www.flsenate.gov/Senators/S1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flsenate.gov/Senators/S12" TargetMode="External"/><Relationship Id="rId10" Type="http://schemas.openxmlformats.org/officeDocument/2006/relationships/hyperlink" Target="https://www.flsenate.gov/Senators/S1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lsenate.gov/Senators/S33" TargetMode="External"/><Relationship Id="rId14" Type="http://schemas.openxmlformats.org/officeDocument/2006/relationships/hyperlink" Target="https://www.flsenate.gov/Senators/S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Sciences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FCSS Legislative Report</dc:title>
  <dc:subject>Spring 2021</dc:subject>
  <dc:creator>Stephen Masyada</dc:creator>
  <cp:keywords/>
  <dc:description/>
  <cp:lastModifiedBy>Stephen Masyada</cp:lastModifiedBy>
  <cp:revision>1</cp:revision>
  <dcterms:created xsi:type="dcterms:W3CDTF">2021-01-22T21:10:00Z</dcterms:created>
  <dcterms:modified xsi:type="dcterms:W3CDTF">2021-01-22T21:27:00Z</dcterms:modified>
</cp:coreProperties>
</file>